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r w:rsidR="002D0956" w:rsidRPr="00003F3C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Regulatory Compliance in IT</w:t>
      </w:r>
    </w:p>
    <w:p w:rsidR="00A8272F" w:rsidRDefault="00A8272F" w:rsidP="00A8272F">
      <w:pPr>
        <w:pStyle w:val="Heading4"/>
      </w:pPr>
      <w:r>
        <w:rPr>
          <w:rStyle w:val="Strong"/>
          <w:b/>
          <w:bCs/>
        </w:rPr>
        <w:t>Course Overview</w:t>
      </w:r>
    </w:p>
    <w:p w:rsidR="00A8272F" w:rsidRDefault="00A8272F" w:rsidP="00A8272F">
      <w:pPr>
        <w:pStyle w:val="NormalWeb"/>
        <w:jc w:val="both"/>
      </w:pPr>
      <w:r>
        <w:t xml:space="preserve">The </w:t>
      </w:r>
      <w:r>
        <w:rPr>
          <w:rStyle w:val="Strong"/>
        </w:rPr>
        <w:t>Regulatory Compliance in IT</w:t>
      </w:r>
      <w:r>
        <w:t xml:space="preserve"> course equips participants with the knowledge and skills to ensure that IT systems and </w:t>
      </w:r>
      <w:bookmarkStart w:id="0" w:name="_GoBack"/>
      <w:bookmarkEnd w:id="0"/>
      <w:r>
        <w:t>processes meet global regulatory standards. Covering GDPR, HIPAA, SOC 2, and PCI-DSS frameworks, this course emphasizes both foundational understanding and practical implementation of compliance measures. Real-world STAR (Situation, Task, Action, Result) examples will illustrate compliance challenges and solutions in various industries.</w:t>
      </w:r>
    </w:p>
    <w:p w:rsidR="00A8272F" w:rsidRDefault="00A8272F" w:rsidP="00A8272F">
      <w:r>
        <w:pict>
          <v:rect id="_x0000_i1025" style="width:0;height:1.5pt" o:hralign="center" o:hrstd="t" o:hr="t" fillcolor="#a0a0a0" stroked="f"/>
        </w:pict>
      </w:r>
    </w:p>
    <w:p w:rsidR="00A8272F" w:rsidRDefault="00A8272F" w:rsidP="00A8272F">
      <w:pPr>
        <w:pStyle w:val="Heading3"/>
      </w:pPr>
      <w:r>
        <w:rPr>
          <w:rStyle w:val="Strong"/>
          <w:b/>
          <w:bCs/>
        </w:rPr>
        <w:t>Course Objectives</w:t>
      </w:r>
    </w:p>
    <w:p w:rsidR="00A8272F" w:rsidRDefault="00A8272F" w:rsidP="00A8272F">
      <w:pPr>
        <w:pStyle w:val="NormalWeb"/>
      </w:pPr>
      <w:r>
        <w:t>By the end of this course, participants will:</w:t>
      </w:r>
    </w:p>
    <w:p w:rsidR="00A8272F" w:rsidRDefault="00A8272F" w:rsidP="00A8272F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Understand the key requirements and principles of GDPR, HIPAA, SOC 2, and PCI-DSS.</w:t>
      </w:r>
    </w:p>
    <w:p w:rsidR="00A8272F" w:rsidRDefault="00A8272F" w:rsidP="00A8272F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compliance measures in IT systems to protect data privacy and security.</w:t>
      </w:r>
    </w:p>
    <w:p w:rsidR="00A8272F" w:rsidRDefault="00A8272F" w:rsidP="00A8272F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Conduct audits and assessments to evaluate compliance readiness.</w:t>
      </w:r>
    </w:p>
    <w:p w:rsidR="00A8272F" w:rsidRDefault="00A8272F" w:rsidP="00A8272F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Address real-world compliance challenges using best practices and industry standards.</w:t>
      </w:r>
    </w:p>
    <w:p w:rsidR="00A8272F" w:rsidRDefault="00A8272F" w:rsidP="00A8272F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Design IT solutions that align with regulatory frameworks while supporting business goals.</w:t>
      </w:r>
    </w:p>
    <w:p w:rsidR="00A8272F" w:rsidRDefault="00A8272F" w:rsidP="00A8272F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8272F" w:rsidRDefault="00A8272F" w:rsidP="00A8272F">
      <w:pPr>
        <w:pStyle w:val="Heading3"/>
      </w:pPr>
      <w:r>
        <w:rPr>
          <w:rStyle w:val="Strong"/>
          <w:b/>
          <w:bCs/>
        </w:rPr>
        <w:t>Course Structure</w:t>
      </w:r>
    </w:p>
    <w:p w:rsidR="00A8272F" w:rsidRDefault="00A8272F" w:rsidP="00A8272F">
      <w:r>
        <w:pict>
          <v:rect id="_x0000_i1027" style="width:0;height:1.5pt" o:hralign="center" o:hrstd="t" o:hr="t" fillcolor="#a0a0a0" stroked="f"/>
        </w:pict>
      </w:r>
    </w:p>
    <w:p w:rsidR="00A8272F" w:rsidRDefault="00A8272F" w:rsidP="00A8272F">
      <w:pPr>
        <w:pStyle w:val="Heading4"/>
      </w:pPr>
      <w:r>
        <w:rPr>
          <w:rStyle w:val="Strong"/>
          <w:b/>
          <w:bCs/>
        </w:rPr>
        <w:lastRenderedPageBreak/>
        <w:t>Module 1: GDPR Compliance Basics</w:t>
      </w:r>
    </w:p>
    <w:p w:rsidR="00A8272F" w:rsidRDefault="00A8272F" w:rsidP="00A8272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the principles of GDPR and implement data protection strategies for IT systems.</w:t>
      </w:r>
    </w:p>
    <w:p w:rsidR="00A8272F" w:rsidRDefault="00A8272F" w:rsidP="00A8272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8272F" w:rsidRDefault="00A8272F" w:rsidP="00A8272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Overview of GDPR: Scope, principles, and rights of data subjects.</w:t>
      </w:r>
    </w:p>
    <w:p w:rsidR="00A8272F" w:rsidRDefault="00A8272F" w:rsidP="00A8272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Data protection impact assessments (DPIAs).</w:t>
      </w:r>
    </w:p>
    <w:p w:rsidR="00A8272F" w:rsidRDefault="00A8272F" w:rsidP="00A8272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Implementing data privacy by design and by default.</w:t>
      </w:r>
    </w:p>
    <w:p w:rsidR="00A8272F" w:rsidRDefault="00A8272F" w:rsidP="00A8272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STAR Example:</w:t>
      </w:r>
    </w:p>
    <w:p w:rsidR="00A8272F" w:rsidRDefault="00A8272F" w:rsidP="00A8272F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multinational e-commerce company faced legal threats due to improper handling of EU customer data.</w:t>
      </w:r>
    </w:p>
    <w:p w:rsidR="00A8272F" w:rsidRDefault="00A8272F" w:rsidP="00A8272F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Achieve GDPR compliance across all systems handling personal data.</w:t>
      </w:r>
    </w:p>
    <w:p w:rsidR="00A8272F" w:rsidRDefault="00A8272F" w:rsidP="00A8272F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Conducted a data audit, updated privacy policies, and implemented encryption for sensitive data.</w:t>
      </w:r>
    </w:p>
    <w:p w:rsidR="00A8272F" w:rsidRDefault="00A8272F" w:rsidP="00A8272F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Avoided potential fines and gained customer trust, leading to a 15% increase in EU sales.</w:t>
      </w:r>
    </w:p>
    <w:p w:rsidR="00A8272F" w:rsidRDefault="00A8272F" w:rsidP="00A8272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A8272F" w:rsidRDefault="00A8272F" w:rsidP="00A8272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Identify and map data flows in an organization to ensure GDPR compliance.</w:t>
      </w:r>
    </w:p>
    <w:p w:rsidR="00A8272F" w:rsidRDefault="00A8272F" w:rsidP="00A8272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A8272F" w:rsidRDefault="00A8272F" w:rsidP="00A8272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Develop a privacy policy and a GDPR-compliant data management plan for a hypothetical organization.</w:t>
      </w:r>
    </w:p>
    <w:p w:rsidR="00A8272F" w:rsidRDefault="00A8272F" w:rsidP="00A8272F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A8272F" w:rsidRDefault="00A8272F" w:rsidP="00A8272F">
      <w:pPr>
        <w:pStyle w:val="Heading4"/>
      </w:pPr>
      <w:r>
        <w:rPr>
          <w:rStyle w:val="Strong"/>
          <w:b/>
          <w:bCs/>
        </w:rPr>
        <w:t>Module 2: HIPAA Compliance in IT</w:t>
      </w:r>
    </w:p>
    <w:p w:rsidR="00A8272F" w:rsidRDefault="00A8272F" w:rsidP="00A8272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HIPAA requirements and apply them to protect healthcare data.</w:t>
      </w:r>
    </w:p>
    <w:p w:rsidR="00A8272F" w:rsidRDefault="00A8272F" w:rsidP="00A8272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8272F" w:rsidRDefault="00A8272F" w:rsidP="00A8272F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HIPAA Privacy and Security Rules.</w:t>
      </w:r>
    </w:p>
    <w:p w:rsidR="00A8272F" w:rsidRDefault="00A8272F" w:rsidP="00A8272F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Ensuring the confidentiality, integrity, and availability of electronic protected health information (</w:t>
      </w:r>
      <w:proofErr w:type="spellStart"/>
      <w:r>
        <w:t>ePHI</w:t>
      </w:r>
      <w:proofErr w:type="spellEnd"/>
      <w:r>
        <w:t>).</w:t>
      </w:r>
    </w:p>
    <w:p w:rsidR="00A8272F" w:rsidRDefault="00A8272F" w:rsidP="00A8272F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Risk assessments and implementing access controls.</w:t>
      </w:r>
    </w:p>
    <w:p w:rsidR="00A8272F" w:rsidRDefault="00A8272F" w:rsidP="00A8272F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STAR Example:</w:t>
      </w:r>
    </w:p>
    <w:p w:rsidR="00A8272F" w:rsidRDefault="00A8272F" w:rsidP="00A8272F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telemedicine startup struggled with securing patient data on its platform.</w:t>
      </w:r>
    </w:p>
    <w:p w:rsidR="00A8272F" w:rsidRDefault="00A8272F" w:rsidP="00A8272F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Implement HIPAA-compliant security controls.</w:t>
      </w:r>
    </w:p>
    <w:p w:rsidR="00A8272F" w:rsidRDefault="00A8272F" w:rsidP="00A8272F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Deployed secure communication protocols, implemented access controls, and trained staff on HIPAA guidelines.</w:t>
      </w:r>
    </w:p>
    <w:p w:rsidR="00A8272F" w:rsidRDefault="00A8272F" w:rsidP="00A8272F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lastRenderedPageBreak/>
        <w:t>Result</w:t>
      </w:r>
      <w:r>
        <w:t>: Passed an external audit and expanded services to new markets with regulatory approval.</w:t>
      </w:r>
    </w:p>
    <w:p w:rsidR="00A8272F" w:rsidRDefault="00A8272F" w:rsidP="00A8272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A8272F" w:rsidRDefault="00A8272F" w:rsidP="00A8272F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Configure a secure database to store </w:t>
      </w:r>
      <w:proofErr w:type="spellStart"/>
      <w:r>
        <w:t>ePHI</w:t>
      </w:r>
      <w:proofErr w:type="spellEnd"/>
      <w:r>
        <w:t xml:space="preserve"> and demonstrate encryption methods.</w:t>
      </w:r>
    </w:p>
    <w:p w:rsidR="00A8272F" w:rsidRDefault="00A8272F" w:rsidP="00A8272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A8272F" w:rsidRDefault="00A8272F" w:rsidP="00A8272F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Create a HIPAA compliance checklist for an IT system used by a healthcare provider.</w:t>
      </w:r>
    </w:p>
    <w:p w:rsidR="00A8272F" w:rsidRDefault="00A8272F" w:rsidP="00A8272F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A8272F" w:rsidRDefault="00A8272F" w:rsidP="00A8272F">
      <w:pPr>
        <w:pStyle w:val="Heading4"/>
      </w:pPr>
      <w:r>
        <w:rPr>
          <w:rStyle w:val="Strong"/>
          <w:b/>
          <w:bCs/>
        </w:rPr>
        <w:t>Module 3: SOC 2 Compliance</w:t>
      </w:r>
    </w:p>
    <w:p w:rsidR="00A8272F" w:rsidRDefault="00A8272F" w:rsidP="00A8272F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SOC 2 Trust Services Criteria and its application in IT systems.</w:t>
      </w:r>
    </w:p>
    <w:p w:rsidR="00A8272F" w:rsidRDefault="00A8272F" w:rsidP="00A8272F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8272F" w:rsidRDefault="00A8272F" w:rsidP="00A8272F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SOC 2 framework: Security, availability, processing integrity, confidentiality, and privacy.</w:t>
      </w:r>
    </w:p>
    <w:p w:rsidR="00A8272F" w:rsidRDefault="00A8272F" w:rsidP="00A8272F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Conducting SOC 2 readiness assessments.</w:t>
      </w:r>
    </w:p>
    <w:p w:rsidR="00A8272F" w:rsidRDefault="00A8272F" w:rsidP="00A8272F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Continuous monitoring and reporting.</w:t>
      </w:r>
    </w:p>
    <w:p w:rsidR="00A8272F" w:rsidRDefault="00A8272F" w:rsidP="00A8272F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STAR Example:</w:t>
      </w:r>
    </w:p>
    <w:p w:rsidR="00A8272F" w:rsidRDefault="00A8272F" w:rsidP="00A8272F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 xml:space="preserve">: A </w:t>
      </w:r>
      <w:proofErr w:type="spellStart"/>
      <w:r>
        <w:t>SaaS</w:t>
      </w:r>
      <w:proofErr w:type="spellEnd"/>
      <w:r>
        <w:t xml:space="preserve"> provider sought to gain client trust by obtaining SOC 2 certification.</w:t>
      </w:r>
    </w:p>
    <w:p w:rsidR="00A8272F" w:rsidRDefault="00A8272F" w:rsidP="00A8272F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Meet the security and availability criteria for SOC 2 compliance.</w:t>
      </w:r>
    </w:p>
    <w:p w:rsidR="00A8272F" w:rsidRDefault="00A8272F" w:rsidP="00A8272F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Developed and implemented a monitoring system to track server uptime and security incidents.</w:t>
      </w:r>
    </w:p>
    <w:p w:rsidR="00A8272F" w:rsidRDefault="00A8272F" w:rsidP="00A8272F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Successfully obtained certification, attracting enterprise clients and increasing revenue by 30%.</w:t>
      </w:r>
    </w:p>
    <w:p w:rsidR="00A8272F" w:rsidRDefault="00A8272F" w:rsidP="00A8272F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A8272F" w:rsidRDefault="00A8272F" w:rsidP="00A8272F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Simulate a SOC 2 readiness assessment for an IT system.</w:t>
      </w:r>
    </w:p>
    <w:p w:rsidR="00A8272F" w:rsidRDefault="00A8272F" w:rsidP="00A8272F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A8272F" w:rsidRDefault="00A8272F" w:rsidP="00A8272F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Prepare a report detailing the steps to achieve SOC 2 compliance for a cloud service provider.</w:t>
      </w:r>
    </w:p>
    <w:p w:rsidR="00A8272F" w:rsidRDefault="00A8272F" w:rsidP="00A8272F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A8272F" w:rsidRDefault="00A8272F" w:rsidP="00A8272F">
      <w:pPr>
        <w:pStyle w:val="Heading4"/>
      </w:pPr>
      <w:r>
        <w:rPr>
          <w:rStyle w:val="Strong"/>
          <w:b/>
          <w:bCs/>
        </w:rPr>
        <w:t>Module 4: PCI-DSS for Payment Security</w:t>
      </w:r>
    </w:p>
    <w:p w:rsidR="00A8272F" w:rsidRDefault="00A8272F" w:rsidP="00A8272F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Ensure compliance with PCI-DSS to secure payment card transactions.</w:t>
      </w:r>
    </w:p>
    <w:p w:rsidR="00A8272F" w:rsidRDefault="00A8272F" w:rsidP="00A8272F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8272F" w:rsidRDefault="00A8272F" w:rsidP="00A8272F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PCI-DSS requirements: Secure cardholder data, implement access controls, and maintain secure networks.</w:t>
      </w:r>
    </w:p>
    <w:p w:rsidR="00A8272F" w:rsidRDefault="00A8272F" w:rsidP="00A8272F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Encryption, tokenization, and fraud detection.</w:t>
      </w:r>
    </w:p>
    <w:p w:rsidR="00A8272F" w:rsidRDefault="00A8272F" w:rsidP="00A8272F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lastRenderedPageBreak/>
        <w:t>Regular compliance assessments and reporting.</w:t>
      </w:r>
    </w:p>
    <w:p w:rsidR="00A8272F" w:rsidRDefault="00A8272F" w:rsidP="00A8272F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STAR Example:</w:t>
      </w:r>
    </w:p>
    <w:p w:rsidR="00A8272F" w:rsidRDefault="00A8272F" w:rsidP="00A8272F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An online retailer experienced a data breach involving customer payment card information.</w:t>
      </w:r>
    </w:p>
    <w:p w:rsidR="00A8272F" w:rsidRDefault="00A8272F" w:rsidP="00A8272F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Secure payment systems and achieve PCI-DSS compliance.</w:t>
      </w:r>
    </w:p>
    <w:p w:rsidR="00A8272F" w:rsidRDefault="00A8272F" w:rsidP="00A8272F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Implemented tokenization for payment data and conducted regular vulnerability scans.</w:t>
      </w:r>
    </w:p>
    <w:p w:rsidR="00A8272F" w:rsidRDefault="00A8272F" w:rsidP="00A8272F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Restored customer confidence and avoided further security breaches.</w:t>
      </w:r>
    </w:p>
    <w:p w:rsidR="00A8272F" w:rsidRDefault="00A8272F" w:rsidP="00A8272F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A8272F" w:rsidRDefault="00A8272F" w:rsidP="00A8272F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Set up a PCI-DSS-compliant payment processing environment.</w:t>
      </w:r>
    </w:p>
    <w:p w:rsidR="00A8272F" w:rsidRDefault="00A8272F" w:rsidP="00A8272F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A8272F" w:rsidRDefault="00A8272F" w:rsidP="00A8272F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Design a PCI-DSS compliance roadmap for a payment gateway service.</w:t>
      </w:r>
    </w:p>
    <w:p w:rsidR="00A8272F" w:rsidRDefault="00A8272F" w:rsidP="00A8272F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A8272F" w:rsidRDefault="00A8272F" w:rsidP="00A8272F">
      <w:pPr>
        <w:pStyle w:val="Heading3"/>
      </w:pPr>
      <w:r>
        <w:rPr>
          <w:rStyle w:val="Strong"/>
          <w:b/>
          <w:bCs/>
        </w:rPr>
        <w:t>Conclusion</w:t>
      </w:r>
    </w:p>
    <w:p w:rsidR="00A8272F" w:rsidRDefault="00A8272F" w:rsidP="00A8272F">
      <w:pPr>
        <w:pStyle w:val="NormalWeb"/>
        <w:jc w:val="both"/>
      </w:pPr>
      <w:r>
        <w:t>This course empowers IT professionals to navigate the complexities of regulatory compliance. By understanding frameworks such as GDPR, HIPAA, SOC 2, and PCI-DSS, participants can design secure and compliant systems that protect sensitive data and align with industry standards. With practical skills and real-world examples, participants will be equipped to lead compliance efforts in their organizations, ensuring both legal adherence and operational excellence.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05" w:rsidRDefault="00A47D05" w:rsidP="00553FEB">
      <w:pPr>
        <w:spacing w:after="0" w:line="240" w:lineRule="auto"/>
      </w:pPr>
      <w:r>
        <w:separator/>
      </w:r>
    </w:p>
  </w:endnote>
  <w:endnote w:type="continuationSeparator" w:id="0">
    <w:p w:rsidR="00A47D05" w:rsidRDefault="00A47D05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05" w:rsidRDefault="00A47D05" w:rsidP="00553FEB">
      <w:pPr>
        <w:spacing w:after="0" w:line="240" w:lineRule="auto"/>
      </w:pPr>
      <w:r>
        <w:separator/>
      </w:r>
    </w:p>
  </w:footnote>
  <w:footnote w:type="continuationSeparator" w:id="0">
    <w:p w:rsidR="00A47D05" w:rsidRDefault="00A47D05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47D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A47D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47D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D6658"/>
    <w:multiLevelType w:val="multilevel"/>
    <w:tmpl w:val="383E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552D8"/>
    <w:multiLevelType w:val="multilevel"/>
    <w:tmpl w:val="CC22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0022D"/>
    <w:multiLevelType w:val="multilevel"/>
    <w:tmpl w:val="3824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855FE8"/>
    <w:multiLevelType w:val="multilevel"/>
    <w:tmpl w:val="4A72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0770F7"/>
    <w:multiLevelType w:val="multilevel"/>
    <w:tmpl w:val="EFF6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9"/>
  </w:num>
  <w:num w:numId="5">
    <w:abstractNumId w:val="0"/>
  </w:num>
  <w:num w:numId="6">
    <w:abstractNumId w:val="7"/>
  </w:num>
  <w:num w:numId="7">
    <w:abstractNumId w:val="22"/>
  </w:num>
  <w:num w:numId="8">
    <w:abstractNumId w:val="11"/>
  </w:num>
  <w:num w:numId="9">
    <w:abstractNumId w:val="15"/>
  </w:num>
  <w:num w:numId="10">
    <w:abstractNumId w:val="10"/>
  </w:num>
  <w:num w:numId="11">
    <w:abstractNumId w:val="8"/>
  </w:num>
  <w:num w:numId="12">
    <w:abstractNumId w:val="24"/>
  </w:num>
  <w:num w:numId="13">
    <w:abstractNumId w:val="17"/>
  </w:num>
  <w:num w:numId="14">
    <w:abstractNumId w:val="23"/>
  </w:num>
  <w:num w:numId="15">
    <w:abstractNumId w:val="12"/>
  </w:num>
  <w:num w:numId="16">
    <w:abstractNumId w:val="6"/>
  </w:num>
  <w:num w:numId="17">
    <w:abstractNumId w:val="9"/>
  </w:num>
  <w:num w:numId="18">
    <w:abstractNumId w:val="21"/>
  </w:num>
  <w:num w:numId="19">
    <w:abstractNumId w:val="20"/>
  </w:num>
  <w:num w:numId="20">
    <w:abstractNumId w:val="16"/>
  </w:num>
  <w:num w:numId="21">
    <w:abstractNumId w:val="14"/>
  </w:num>
  <w:num w:numId="22">
    <w:abstractNumId w:val="5"/>
  </w:num>
  <w:num w:numId="23">
    <w:abstractNumId w:val="13"/>
  </w:num>
  <w:num w:numId="24">
    <w:abstractNumId w:val="4"/>
  </w:num>
  <w:num w:numId="2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D0956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47D05"/>
    <w:rsid w:val="00A50EEE"/>
    <w:rsid w:val="00A8272F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2024-12-10T22:43:00Z</dcterms:modified>
</cp:coreProperties>
</file>